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mbria" w:hAnsi="Cambria" w:eastAsia="Calibri" w:cs="" w:asciiTheme="majorHAnsi" w:cstheme="minorBidi" w:eastAsiaTheme="minorHAnsi" w:hAnsiTheme="majorHAnsi"/>
          <w:b/>
          <w:i/>
          <w:i/>
          <w:color w:val="auto"/>
          <w:sz w:val="32"/>
          <w:szCs w:val="32"/>
          <w:lang w:eastAsia="en-US"/>
        </w:rPr>
      </w:pPr>
      <w:r>
        <w:rPr>
          <w:rFonts w:eastAsia="Calibri" w:cs="" w:cstheme="minorBidi" w:eastAsiaTheme="minorHAnsi" w:ascii="Cambria" w:hAnsi="Cambria"/>
          <w:b/>
          <w:i/>
          <w:color w:val="auto"/>
          <w:sz w:val="32"/>
          <w:szCs w:val="32"/>
          <w:lang w:eastAsia="en-US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3730625</wp:posOffset>
            </wp:positionH>
            <wp:positionV relativeFrom="paragraph">
              <wp:posOffset>179705</wp:posOffset>
            </wp:positionV>
            <wp:extent cx="770255" cy="77533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mbria" w:hAnsi="Cambria" w:eastAsia="Calibri" w:cs="" w:asciiTheme="majorHAnsi" w:cstheme="minorBidi" w:eastAsiaTheme="minorHAnsi" w:hAnsiTheme="majorHAnsi"/>
          <w:b/>
          <w:i/>
          <w:i/>
          <w:color w:val="auto"/>
          <w:sz w:val="56"/>
          <w:szCs w:val="56"/>
          <w:lang w:eastAsia="en-US"/>
        </w:rPr>
      </w:pPr>
      <w:r>
        <w:rPr>
          <w:rFonts w:eastAsia="Calibri" w:cs="" w:ascii="Cambria" w:hAnsi="Cambria" w:asciiTheme="majorHAnsi" w:cstheme="minorBidi" w:eastAsiaTheme="minorHAnsi" w:hAnsiTheme="majorHAnsi"/>
          <w:b/>
          <w:i/>
          <w:color w:val="auto"/>
          <w:sz w:val="56"/>
          <w:szCs w:val="56"/>
          <w:lang w:eastAsia="en-US"/>
        </w:rPr>
        <w:t xml:space="preserve">          </w:t>
      </w:r>
      <w:r>
        <w:rPr/>
        <w:drawing>
          <wp:inline distT="0" distB="0" distL="0" distR="0">
            <wp:extent cx="1733550" cy="54165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-644525</wp:posOffset>
            </wp:positionH>
            <wp:positionV relativeFrom="margin">
              <wp:posOffset>-804545</wp:posOffset>
            </wp:positionV>
            <wp:extent cx="7400925" cy="676275"/>
            <wp:effectExtent l="0" t="0" r="0" b="0"/>
            <wp:wrapSquare wrapText="bothSides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8" t="0" r="-422" b="5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Cambria" w:hAnsi="Cambria" w:asciiTheme="majorHAnsi" w:cstheme="minorBidi" w:eastAsiaTheme="minorHAnsi" w:hAnsiTheme="majorHAnsi"/>
          <w:b/>
          <w:i/>
          <w:color w:val="auto"/>
          <w:sz w:val="56"/>
          <w:szCs w:val="56"/>
          <w:lang w:eastAsia="en-US"/>
        </w:rPr>
        <w:t xml:space="preserve">               </w:t>
      </w:r>
      <w:r>
        <w:rPr>
          <w:rFonts w:eastAsia="Calibri" w:cs="" w:ascii="Cambria" w:hAnsi="Cambria" w:asciiTheme="majorHAnsi" w:cstheme="minorBidi" w:eastAsiaTheme="minorHAnsi" w:hAnsiTheme="majorHAnsi"/>
          <w:b/>
          <w:i/>
          <w:color w:val="FF0000"/>
          <w:sz w:val="56"/>
          <w:szCs w:val="56"/>
          <w:lang w:eastAsia="en-US"/>
        </w:rPr>
        <w:t xml:space="preserve"> </w:t>
      </w:r>
      <w:r>
        <w:rPr>
          <w:rFonts w:eastAsia="Calibri" w:cs="" w:ascii="Cambria" w:hAnsi="Cambria" w:asciiTheme="majorHAnsi" w:cstheme="minorBidi" w:eastAsiaTheme="minorHAnsi" w:hAnsiTheme="majorHAnsi"/>
          <w:b/>
          <w:i/>
          <w:color w:val="auto"/>
          <w:sz w:val="56"/>
          <w:szCs w:val="56"/>
          <w:lang w:eastAsia="en-US"/>
        </w:rPr>
        <w:t xml:space="preserve">  </w:t>
      </w:r>
    </w:p>
    <w:p>
      <w:pPr>
        <w:pStyle w:val="Normal"/>
        <w:jc w:val="center"/>
        <w:rPr>
          <w:rFonts w:ascii="Cambria" w:hAnsi="Cambria" w:eastAsia="Calibri" w:cs="" w:asciiTheme="majorHAnsi" w:cstheme="minorBidi" w:eastAsiaTheme="minorHAnsi" w:hAnsiTheme="majorHAnsi"/>
          <w:b/>
          <w:i/>
          <w:i/>
          <w:color w:val="auto"/>
          <w:sz w:val="56"/>
          <w:szCs w:val="56"/>
          <w:lang w:eastAsia="en-US"/>
        </w:rPr>
      </w:pPr>
      <w:r>
        <w:rPr>
          <w:rFonts w:eastAsia="Calibri" w:cs="" w:cstheme="minorBidi" w:eastAsiaTheme="minorHAnsi" w:ascii="Cambria" w:hAnsi="Cambria"/>
          <w:b/>
          <w:i/>
          <w:color w:val="auto"/>
          <w:sz w:val="56"/>
          <w:szCs w:val="56"/>
          <w:lang w:eastAsia="en-US"/>
        </w:rPr>
      </w:r>
    </w:p>
    <w:p>
      <w:pPr>
        <w:pStyle w:val="Normal"/>
        <w:jc w:val="center"/>
        <w:rPr>
          <w:rFonts w:ascii="Cambria" w:hAnsi="Cambria" w:eastAsia="Calibri" w:cs="" w:asciiTheme="majorHAnsi" w:cstheme="minorBidi" w:eastAsiaTheme="minorHAnsi" w:hAnsiTheme="majorHAnsi"/>
          <w:b/>
          <w:i/>
          <w:i/>
          <w:color w:val="auto"/>
          <w:sz w:val="56"/>
          <w:szCs w:val="56"/>
          <w:lang w:eastAsia="en-US"/>
        </w:rPr>
      </w:pPr>
      <w:r>
        <w:rPr>
          <w:rFonts w:eastAsia="Calibri" w:cs="" w:ascii="Cambria" w:hAnsi="Cambria" w:asciiTheme="majorHAnsi" w:cstheme="minorBidi" w:eastAsiaTheme="minorHAnsi" w:hAnsiTheme="majorHAnsi"/>
          <w:b/>
          <w:i/>
          <w:color w:val="auto"/>
          <w:sz w:val="56"/>
          <w:szCs w:val="56"/>
          <w:lang w:eastAsia="en-US"/>
        </w:rPr>
        <w:t>Mostra itinerante</w:t>
      </w:r>
    </w:p>
    <w:p>
      <w:pPr>
        <w:pStyle w:val="Normal"/>
        <w:jc w:val="center"/>
        <w:rPr>
          <w:rFonts w:ascii="Cambria" w:hAnsi="Cambria" w:eastAsia="Arial" w:cs="Arial" w:asciiTheme="majorHAnsi" w:hAnsiTheme="majorHAnsi"/>
          <w:b/>
          <w:bCs/>
          <w:i/>
          <w:i/>
          <w:iCs/>
          <w:sz w:val="40"/>
          <w:szCs w:val="40"/>
        </w:rPr>
      </w:pPr>
      <w:r>
        <w:rPr>
          <w:rFonts w:ascii="Cambria" w:hAnsi="Cambria" w:asciiTheme="majorHAnsi" w:hAnsiTheme="majorHAnsi"/>
          <w:b/>
          <w:bCs/>
          <w:i/>
          <w:iCs/>
          <w:sz w:val="40"/>
          <w:szCs w:val="40"/>
        </w:rPr>
        <w:t>LA RAZZA NEMICA</w:t>
      </w:r>
    </w:p>
    <w:p>
      <w:pPr>
        <w:pStyle w:val="Normal"/>
        <w:jc w:val="center"/>
        <w:rPr>
          <w:rFonts w:ascii="Cambria" w:hAnsi="Cambria" w:asciiTheme="majorHAnsi" w:hAnsiTheme="majorHAnsi"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La propaganda antisemita nazista e fascista</w:t>
      </w:r>
    </w:p>
    <w:p>
      <w:pPr>
        <w:pStyle w:val="Normal"/>
        <w:jc w:val="center"/>
        <w:rPr>
          <w:rFonts w:eastAsia="Calibri"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dal 25 al 31 Gennaio 2025</w:t>
      </w:r>
    </w:p>
    <w:p>
      <w:pPr>
        <w:pStyle w:val="Normal"/>
        <w:spacing w:lineRule="auto" w:line="360"/>
        <w:jc w:val="center"/>
        <w:rPr>
          <w:rFonts w:cs="Arial"/>
          <w:b/>
          <w:sz w:val="28"/>
          <w:szCs w:val="24"/>
          <w:u w:val="single"/>
          <w:lang w:val="de-DE"/>
        </w:rPr>
      </w:pPr>
      <w:r>
        <w:rPr>
          <w:rFonts w:cs="Arial"/>
          <w:b/>
          <w:sz w:val="28"/>
          <w:szCs w:val="24"/>
          <w:u w:val="single" w:color="000000"/>
        </w:rPr>
        <w:t>Inaugurazione mostra</w:t>
      </w:r>
      <w:r>
        <w:rPr>
          <w:rFonts w:cs="Arial"/>
          <w:b/>
          <w:sz w:val="28"/>
          <w:szCs w:val="24"/>
        </w:rPr>
        <w:t>:</w:t>
      </w:r>
    </w:p>
    <w:p>
      <w:pPr>
        <w:pStyle w:val="Normal"/>
        <w:spacing w:lineRule="auto" w:line="360"/>
        <w:jc w:val="center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 w:color="000000"/>
        </w:rPr>
        <w:t>Sabato 25 Gennaio 2025 ore 10.00</w:t>
      </w:r>
    </w:p>
    <w:p>
      <w:pPr>
        <w:pStyle w:val="Default"/>
        <w:jc w:val="center"/>
        <w:rPr/>
      </w:pPr>
      <w:r>
        <w:rPr/>
      </w:r>
    </w:p>
    <w:p>
      <w:pPr>
        <w:pStyle w:val="BodyTex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Sala Zelantea Palazzo di Città  </w:t>
      </w:r>
    </w:p>
    <w:p>
      <w:pPr>
        <w:pStyle w:val="BodyText"/>
        <w:jc w:val="center"/>
        <w:rPr>
          <w:sz w:val="44"/>
          <w:szCs w:val="44"/>
        </w:rPr>
      </w:pPr>
      <w:r>
        <w:rPr>
          <w:sz w:val="44"/>
          <w:szCs w:val="44"/>
        </w:rPr>
        <w:t>Piazza Duomo - Acireale</w:t>
      </w:r>
    </w:p>
    <w:p>
      <w:pPr>
        <w:pStyle w:val="Normal"/>
        <w:ind w:right="9"/>
        <w:jc w:val="center"/>
        <w:rPr>
          <w:color w:val="161616"/>
          <w:sz w:val="37"/>
        </w:rPr>
      </w:pPr>
      <w:r>
        <w:rPr>
          <w:color w:val="161616"/>
          <w:sz w:val="37"/>
        </w:rPr>
      </w:r>
    </w:p>
    <w:p>
      <w:pPr>
        <w:pStyle w:val="Normal"/>
        <w:ind w:right="9"/>
        <w:jc w:val="center"/>
        <w:rPr>
          <w:color w:val="161616"/>
          <w:sz w:val="37"/>
        </w:rPr>
      </w:pPr>
      <w:r>
        <w:rPr>
          <w:spacing w:val="28"/>
          <w:sz w:val="37"/>
        </w:rPr>
        <w:t xml:space="preserve">COMUNICATO </w:t>
      </w:r>
      <w:r>
        <w:rPr>
          <w:color w:val="161616"/>
          <w:sz w:val="37"/>
        </w:rPr>
        <w:t>STAMPA</w:t>
      </w:r>
    </w:p>
    <w:p>
      <w:pPr>
        <w:pStyle w:val="Normal"/>
        <w:ind w:left="142"/>
        <w:jc w:val="both"/>
        <w:rPr>
          <w:rFonts w:eastAsia="Calibri" w:cs="Arial"/>
          <w:bCs/>
          <w:sz w:val="24"/>
          <w:szCs w:val="24"/>
        </w:rPr>
      </w:pPr>
      <w:r>
        <w:rPr>
          <w:rFonts w:eastAsia="Calibri" w:cs="Arial" w:ascii="Cambria" w:hAnsi="Cambria" w:asciiTheme="majorHAnsi" w:eastAsiaTheme="minorHAnsi" w:hAnsiTheme="majorHAnsi"/>
          <w:b/>
          <w:color w:val="auto"/>
          <w:sz w:val="24"/>
          <w:szCs w:val="24"/>
          <w:u w:val="single" w:color="000000"/>
          <w:lang w:eastAsia="en-US"/>
        </w:rPr>
        <w:t xml:space="preserve">Il giorno 25 Gennaio alle ore 10.00 la </w:t>
      </w:r>
      <w:r>
        <w:rPr>
          <w:rFonts w:eastAsia="Calibri" w:cs="Arial" w:ascii="Cambria" w:hAnsi="Cambria" w:asciiTheme="majorHAnsi" w:eastAsiaTheme="minorHAnsi" w:hAnsiTheme="majorHAnsi"/>
          <w:b/>
          <w:bCs/>
          <w:color w:val="auto"/>
          <w:sz w:val="24"/>
          <w:szCs w:val="24"/>
          <w:u w:val="single" w:color="000000"/>
          <w:lang w:eastAsia="en-US"/>
        </w:rPr>
        <w:t xml:space="preserve">Fondazione Museo della Shoah, in collaborazione con la Città di Acireale, inaugura la mostra </w:t>
      </w:r>
      <w:r>
        <w:rPr>
          <w:rFonts w:eastAsia="Calibri" w:cs="Arial" w:ascii="Cambria" w:hAnsi="Cambria"/>
          <w:b/>
          <w:color w:val="000000"/>
          <w:sz w:val="24"/>
          <w:szCs w:val="24"/>
          <w:u w:val="single" w:color="000000"/>
          <w:shd w:fill="FFFFFF" w:val="clear"/>
          <w:lang w:eastAsia="en-US"/>
        </w:rPr>
        <w:t>“</w:t>
      </w:r>
      <w:r>
        <w:rPr>
          <w:rFonts w:eastAsia="Calibri" w:cs="Arial" w:ascii="Cambria" w:hAnsi="Cambria" w:asciiTheme="majorHAnsi" w:eastAsiaTheme="minorHAnsi" w:hAnsiTheme="majorHAnsi"/>
          <w:b/>
          <w:color w:val="000000"/>
          <w:sz w:val="24"/>
          <w:szCs w:val="24"/>
          <w:u w:val="single" w:color="000000"/>
          <w:shd w:fill="FFFFFF" w:val="clear"/>
          <w:lang w:eastAsia="en-US"/>
        </w:rPr>
        <w:t>La Razza nemica. La propaganda antisemita nazista e fascista”.</w:t>
      </w:r>
    </w:p>
    <w:p>
      <w:pPr>
        <w:pStyle w:val="Normal"/>
        <w:rPr>
          <w:rFonts w:ascii="Cambria" w:hAnsi="Cambria" w:eastAsia="Calibri" w:cs="Times New Roman" w:asciiTheme="majorHAnsi" w:eastAsiaTheme="minorHAnsi" w:hAnsiTheme="majorHAnsi"/>
          <w:i/>
          <w:i/>
          <w:color w:val="auto"/>
          <w:sz w:val="24"/>
          <w:szCs w:val="24"/>
          <w:lang w:eastAsia="en-US"/>
        </w:rPr>
      </w:pP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La mostra è promossa dalla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Fondazione Museo della Shoah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 e si avvale del patrocinio della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Presidenza del Consiglio dei Ministri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, della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Regione Lazio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, di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Roma Capitale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>, dell’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Unione delle Comunità Ebraiche Italiane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, del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CDEC, Fondazione Centro di Documentazione Ebraica Contemporanea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 e della </w:t>
      </w:r>
      <w:r>
        <w:rPr>
          <w:rFonts w:eastAsia="Calibri" w:cs="Times New Roman" w:ascii="Cambria" w:hAnsi="Cambria" w:asciiTheme="majorHAnsi" w:eastAsiaTheme="minorHAnsi" w:hAnsiTheme="majorHAnsi"/>
          <w:b/>
          <w:i/>
          <w:color w:val="auto"/>
          <w:sz w:val="24"/>
          <w:szCs w:val="24"/>
          <w:lang w:eastAsia="en-US"/>
        </w:rPr>
        <w:t>Comunità Ebraica di Roma</w:t>
      </w:r>
      <w:r>
        <w:rPr>
          <w:rFonts w:eastAsia="Calibri" w:cs="Times New Roman" w:ascii="Cambria" w:hAnsi="Cambria" w:asciiTheme="majorHAnsi" w:eastAsiaTheme="minorHAnsi" w:hAnsiTheme="majorHAnsi"/>
          <w:i/>
          <w:color w:val="auto"/>
          <w:sz w:val="24"/>
          <w:szCs w:val="24"/>
          <w:lang w:eastAsia="en-US"/>
        </w:rPr>
        <w:t xml:space="preserve">. </w:t>
      </w:r>
    </w:p>
    <w:p>
      <w:pPr>
        <w:pStyle w:val="Normal"/>
        <w:rPr>
          <w:rFonts w:ascii="Cambria" w:hAnsi="Cambria" w:eastAsia="Calibri" w:cs="Times New Roman" w:asciiTheme="majorHAnsi" w:eastAsiaTheme="minorHAnsi" w:hAnsiTheme="majorHAnsi"/>
          <w:i/>
          <w:i/>
          <w:color w:val="auto"/>
          <w:sz w:val="24"/>
          <w:szCs w:val="24"/>
          <w:lang w:eastAsia="en-US"/>
        </w:rPr>
      </w:pPr>
      <w:r>
        <w:rPr>
          <w:rFonts w:ascii="Cambria" w:hAnsi="Cambria" w:asciiTheme="majorHAnsi" w:hAnsiTheme="majorHAnsi"/>
          <w:shd w:fill="FFFFFF" w:val="clear"/>
        </w:rPr>
        <w:t>Per comprendere come sia stato possibile che centinaia di migliaia di uomini comuni abbiano potuto partecipare attivamente alla persecuzione e all’uccisione della minoranza ebraica dell’intera Europa, è necessario esaminare quale ruolo abbia avuto la propaganda antisemita nella Germania nazista e nell’Italia fascista. In quest’ottica la mostra analizza a fondo le ragioni, le dinamiche, le forme, i contenuti e i protagonisti di tale fenomeno.</w:t>
      </w:r>
    </w:p>
    <w:p>
      <w:pPr>
        <w:pStyle w:val="BodyText"/>
        <w:rPr>
          <w:rFonts w:ascii="Cambria" w:hAnsi="Cambria" w:asciiTheme="majorHAnsi" w:hAnsiTheme="majorHAnsi"/>
          <w:shd w:fill="FFFFFF" w:val="clear"/>
        </w:rPr>
      </w:pPr>
      <w:r>
        <w:rPr>
          <w:rFonts w:ascii="Cambria" w:hAnsi="Cambria" w:asciiTheme="majorHAnsi" w:hAnsiTheme="majorHAnsi"/>
          <w:sz w:val="22"/>
          <w:szCs w:val="22"/>
        </w:rPr>
        <w:t xml:space="preserve">In esposizione </w:t>
      </w:r>
      <w:r>
        <w:rPr>
          <w:rFonts w:ascii="Cambria" w:hAnsi="Cambria" w:asciiTheme="majorHAnsi" w:hAnsiTheme="majorHAnsi"/>
          <w:b/>
          <w:bCs/>
          <w:sz w:val="22"/>
          <w:szCs w:val="22"/>
        </w:rPr>
        <w:t xml:space="preserve">manifesti, fotografie, oggettistica, giornali e riviste dell’epoca. </w:t>
      </w:r>
      <w:r>
        <w:rPr>
          <w:rFonts w:ascii="Cambria" w:hAnsi="Cambria" w:asciiTheme="majorHAnsi" w:hAnsiTheme="majorHAnsi"/>
        </w:rPr>
        <w:t xml:space="preserve">Il percorso espositivo si snoda su un duplice piano narrativo: da una parte viene offerto uno sguardo sull’evoluzione dell’antisemitismo in Europa all’inizio del ‘900, in particolare sulla fase finale caratterizzata da motivazioni genetiche e biologiche e non più solo teologiche, socio-economiche e culturali  e, dall’altra, viene raccontato il ruolo della propaganda nazista e fascista che ha caratterizzato la cosiddetta società di massa, grazie alla nascita e alla diffusione di “nuovi” media come la radio, il cinema e successivamente la televisione. La mostra approfondisce il tema della propaganda antiebraica, mettendo a confronto le due diverse connotazioni che si svilupparono nella Germania nazista e nell’Italia fascista, evidenziandone le differenze, ma anche le analogie e i legami, come nel caso del materiale prodotto dalla storica rivista tedesca </w:t>
      </w:r>
      <w:r>
        <w:rPr>
          <w:rFonts w:ascii="Cambria" w:hAnsi="Cambria" w:asciiTheme="majorHAnsi" w:hAnsiTheme="majorHAnsi"/>
          <w:b/>
          <w:bCs/>
        </w:rPr>
        <w:t xml:space="preserve">Der Stürmer, </w:t>
      </w:r>
      <w:r>
        <w:rPr>
          <w:rFonts w:ascii="Cambria" w:hAnsi="Cambria" w:asciiTheme="majorHAnsi" w:hAnsiTheme="majorHAnsi"/>
        </w:rPr>
        <w:t xml:space="preserve">fondata da Julius Streicher a Norimberga nel 1923, messo a confronto con quello della rivista italiana </w:t>
      </w:r>
      <w:r>
        <w:rPr>
          <w:rFonts w:ascii="Cambria" w:hAnsi="Cambria" w:asciiTheme="majorHAnsi" w:hAnsiTheme="majorHAnsi"/>
          <w:b/>
          <w:bCs/>
        </w:rPr>
        <w:t xml:space="preserve">La Difesa della Razza, </w:t>
      </w:r>
      <w:r>
        <w:rPr>
          <w:rFonts w:ascii="Cambria" w:hAnsi="Cambria" w:asciiTheme="majorHAnsi" w:hAnsiTheme="majorHAnsi"/>
        </w:rPr>
        <w:t xml:space="preserve">pubblicata nel 1938 dalla casa editrice Tumminelli di Roma e diretta da Telesio Interlandi. 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L’esposizione si conclude mettendo in rilievo le conseguenze che la propaganda ha avuto sulla sorte degli ebrei d’Europa: dalle misure persecutorie – soprattutto con l’emanazione delle Leggi di Norimberga (1935) – all’istituzione dei ghetti, che sancirono l’isolamento degli ebrei dal resto della popolazione, dalle deportazioni allo sterminio fisico nei campi di morte.</w:t>
      </w:r>
    </w:p>
    <w:p>
      <w:pPr>
        <w:pStyle w:val="Normal"/>
        <w:rPr>
          <w:rFonts w:ascii="Cambria" w:hAnsi="Cambria" w:eastAsia="Arial" w:cs="Arial" w:asciiTheme="majorHAnsi" w:hAnsiTheme="majorHAnsi"/>
        </w:rPr>
      </w:pPr>
      <w:r>
        <w:rPr>
          <w:rFonts w:eastAsia="Arial" w:cs="Arial" w:ascii="Cambria" w:hAnsi="Cambri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color w:val="auto"/>
        </w:rPr>
      </w:pPr>
      <w:r>
        <w:rPr>
          <w:rFonts w:cs="Times New Roman" w:ascii="Times New Roman" w:hAnsi="Times New Roman"/>
        </w:rPr>
        <w:t>INGRESSO GRATUITO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ORARI: </w:t>
      </w:r>
    </w:p>
    <w:p>
      <w:pPr>
        <w:pStyle w:val="NoSpacing"/>
        <w:spacing w:lineRule="auto" w:line="276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SABATO 25 dalle 9.00 alle 13.00 e dalle 16.00 alle 19.30. </w:t>
      </w:r>
    </w:p>
    <w:p>
      <w:pPr>
        <w:pStyle w:val="NoSpacing"/>
        <w:spacing w:lineRule="auto" w:line="276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Da LUNEDÌ 27 a VENERDÌ 31 gennaio dalle 9.00 alle 13.00 e dalle 16.00 alle 19.30.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Cs/>
          <w:shd w:fill="FFFFFF" w:val="clear"/>
        </w:rPr>
      </w:pPr>
      <w:r>
        <w:rPr>
          <w:rFonts w:cs="Times New Roman" w:ascii="Times New Roman" w:hAnsi="Times New Roman"/>
          <w:bCs/>
          <w:shd w:fill="FFFFFF" w:val="clear"/>
        </w:rPr>
        <w:t xml:space="preserve">PER INFO: </w:t>
      </w:r>
    </w:p>
    <w:p>
      <w:pPr>
        <w:pStyle w:val="Normal"/>
        <w:rPr/>
      </w:pPr>
      <w:r>
        <w:rPr>
          <w:rStyle w:val="Hyperlink"/>
        </w:rPr>
        <w:t>https://www.facebook.com/museoshoahroma/</w:t>
      </w:r>
    </w:p>
    <w:p>
      <w:pPr>
        <w:pStyle w:val="Normal"/>
        <w:rPr>
          <w:rFonts w:ascii="Times New Roman" w:hAnsi="Times New Roman" w:cs="Times New Roman"/>
          <w:bCs/>
          <w:shd w:fill="FFFFFF" w:val="clear"/>
        </w:rPr>
      </w:pPr>
      <w:hyperlink r:id="rId5" w:tgtFrame="_blank">
        <w:r>
          <w:rPr>
            <w:rStyle w:val="Hyperlink"/>
            <w:rFonts w:cs="Times New Roman" w:ascii="Times New Roman" w:hAnsi="Times New Roman"/>
            <w:bCs/>
            <w:shd w:fill="FFFFFF" w:val="clear"/>
          </w:rPr>
          <w:t>https://www.instagram.com/museoshoahroma/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44a7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ce44a7"/>
    <w:rPr>
      <w:rFonts w:ascii="Arial Narrow" w:hAnsi="Arial Narrow" w:eastAsia="Arial Narrow" w:cs="Arial Narrow"/>
      <w:color w:val="000000"/>
      <w:sz w:val="24"/>
      <w:szCs w:val="24"/>
      <w:u w:val="none" w:color="000000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0674ea"/>
    <w:rPr>
      <w:color w:themeColor="hyperlink"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link w:val="CorpotestoCarattere"/>
    <w:rsid w:val="00ce44a7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Arial Narrow" w:cs="Arial Narrow"/>
      <w:color w:val="000000"/>
      <w:kern w:val="0"/>
      <w:sz w:val="24"/>
      <w:szCs w:val="24"/>
      <w:u w:val="none" w:color="000000"/>
      <w:lang w:val="it-IT" w:eastAsia="it-IT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qFormat/>
    <w:rsid w:val="00ce44a7"/>
    <w:pPr>
      <w:widowControl/>
      <w:suppressAutoHyphens w:val="true"/>
      <w:bidi w:val="0"/>
      <w:spacing w:lineRule="auto" w:line="276" w:before="0" w:after="200"/>
      <w:ind w:left="72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NoSpacing">
    <w:name w:val="No Spacing"/>
    <w:uiPriority w:val="1"/>
    <w:qFormat/>
    <w:rsid w:val="000674e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Futura Std Book" w:hAnsi="Futura Std Book" w:eastAsia="Times New Roman" w:cs="Futura Std Book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instagram.com/museoshoahroma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2</Pages>
  <Words>428</Words>
  <Characters>2565</Characters>
  <CharactersWithSpaces>3011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2017-11-29T09:22:00Z</dcterms:created>
  <dc:creator>Micol</dc:creator>
  <dc:description/>
  <dc:language>it-IT</dc:language>
  <cp:lastModifiedBy/>
  <dcterms:modified xsi:type="dcterms:W3CDTF">2025-01-22T11:39:40Z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